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 to this Framework Agreement</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10, this Framework Agreement may not be varied except where:</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notifies the other Party that it wishes to vary the provisions of this Framework Agreement and provides full written details of any such proposed change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 Request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Authority Representative and the Supplier Representative, acting reasonably, agree to the variation and a written variation agreement is signed by the Authority Representative and the Supplier Representative in the form set out in Annex 1.</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is not required to consider any Change Control Request if the request: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solely to increase the Charges;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the Authority considers to be inconsistent with the </w:t>
      </w:r>
      <w:r w:rsidDel="00000000" w:rsidR="00000000" w:rsidRPr="00000000">
        <w:rPr>
          <w:rtl w:val="0"/>
        </w:rPr>
        <w:t xml:space="preserve">FTS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Notice; or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is made to accommodate a Relevant Change or a Potential Relevant Change in respect of which the Parties have not applied the arrangements in Clause 10.</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agree that a Change Control Request is technically feasible, the Supplier shall prepare a proposal as soon as reasonably practicable but in any event no later than twenty (20) Working Days of the date on which a Party receives the Change Control Request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Itemised Proposal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Itemised Proposal shall contain: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reasonable and fully itemised proposals for implementing the Change Control Request.  The Supplier shall specify:</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work that needs to be performed to implement a Change Control Request;</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programme for implementation;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personnel required for implementation, their roles and the time they would need to commit to implementation;</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amendment that would be necessary to this Framework Agreement and Customer Contracts to give effect to the Change Control Request;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increase or decrease to the Charges that Contracted Customers would bear following implementation of the Change Control Request.  If new Gas Products or new Ancillary Services are being introduced, the Supplier shall specify their applicable charges;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reasonable costs of implementing the Change Control Request.  The costs to be determined on an open-book, pass-through basis.  The Authority has the right to reject costs in the following circumstances: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incurred by the Supplier in connection with the Itemised Proposal for the Change Control Request;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or will incur to implement another Change Control Request;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incurred or will incur on any separate upgrade, modification or development of its systems that the Supplier is carrying out for its business generally.  This exclusion will not apply to any such costs that would not be incurred if the Supplier was not providing the Services.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After the Authority has received the Supplier's Itemised Proposal it may accept (in whole or in part) or reject the Itemised Proposal.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in whole the Supplier's Itemised Proposal, the Supplier shall implement the Change Control Request in accordance with the Itemised Proposal.</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has accepted the Supplier's Itemised Proposal in part the Supplier, unless the Supplier has reasonable grounds not to do so, shall implement the Change Control Request in accordance with the Itemised Proposal.</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any part of the Supplier's Itemised Proposal that is not accepted by the Authority, the Parties shall in good faith use reasonable endeavours to agree any amendments to the part of the Itemised Proposal that the Authority has not accepted so that the amended Itemised Proposal as a whole would be acceptable to the Authority.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more than one (1) Change Control Request within the previous two (2) Months, the Parties shall in good faith use their reasonable endeavours to agree the priority and time frame within which the Change Control Requests shall be implemented.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Sequential 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Number]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Originator: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[●Insert Category Manager] for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change first proposed: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Date]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Variation 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on [●Insert Date]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 </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the Crown Commercial Service, being a separate trading fund of the Cabinet Office without separate legal personality, whose office is at 9th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Noto Sans Symbols" w:cs="Noto Sans Symbols" w:eastAsia="Noto Sans Symbols" w:hAnsi="Noto Sans Symbols"/>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Firm's name] whose offices are at [</w:t>
      </w:r>
      <w:r w:rsidDel="00000000" w:rsidR="00000000" w:rsidRPr="00000000">
        <w:rPr>
          <w:rFonts w:ascii="Noto Sans Symbols" w:cs="Noto Sans Symbols" w:eastAsia="Noto Sans Symbols" w:hAnsi="Noto Sans Symbols"/>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address]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Number of pages attached: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N/A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entered into a Framework Agreement for the provision of Natural Gas (daily metered and non daily metered)  &amp; Ancillary Services dated [●] and now wish to vary that Framework Agreement as set out below.</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it is 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follows:</w:t>
      </w:r>
    </w:p>
    <w:p w:rsidR="00000000" w:rsidDel="00000000" w:rsidP="00000000" w:rsidRDefault="00000000" w:rsidRPr="00000000" w14:paraId="0000002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Status of this Agreement</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variation agreement is supplemental to the Framework Agreement.  Except as expressly amended by this variation agreement and any previous variation agreement, the Framework Agreement shall remain in full force and effect.  Terms defined in the Framework Agreement shall have the same meaning in this variation agreement, unless otherwise provided by this variation agreement.</w:t>
      </w:r>
    </w:p>
    <w:p w:rsidR="00000000" w:rsidDel="00000000" w:rsidP="00000000" w:rsidRDefault="00000000" w:rsidRPr="00000000" w14:paraId="0000002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Amendments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effect from [●Insert Date] the Agreement shall be varied as set out below:</w:t>
      </w:r>
    </w:p>
    <w:tbl>
      <w:tblPr>
        <w:tblStyle w:val="Table1"/>
        <w:tblW w:w="8343.0" w:type="dxa"/>
        <w:jc w:val="left"/>
        <w:tblInd w:w="60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0"/>
        <w:gridCol w:w="2098"/>
        <w:gridCol w:w="2006"/>
        <w:gridCol w:w="2159"/>
        <w:tblGridChange w:id="0">
          <w:tblGrid>
            <w:gridCol w:w="2080"/>
            <w:gridCol w:w="2098"/>
            <w:gridCol w:w="2006"/>
            <w:gridCol w:w="2159"/>
          </w:tblGrid>
        </w:tblGridChange>
      </w:tblGrid>
      <w:tr>
        <w:trPr>
          <w:cantSplit w:val="0"/>
          <w:tblHeader w:val="0"/>
        </w:trPr>
        <w:tc>
          <w:tcPr>
            <w:shd w:fill="d9d9d9"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p>
        </w:tc>
        <w:tc>
          <w:tcPr>
            <w:shd w:fill="d9d9d9"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 (C)/ Paragraph (P)</w:t>
            </w:r>
          </w:p>
        </w:tc>
        <w:tc>
          <w:tcPr>
            <w:shd w:fill="d9d9d9"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Text</w:t>
            </w:r>
          </w:p>
        </w:tc>
        <w:tc>
          <w:tcPr>
            <w:shd w:fill="d9d9d9"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Action</w:t>
              <w:br w:type="textWrapping"/>
              <w:t xml:space="preserve">eg Insert</w:t>
              <w:br w:type="textWrapping"/>
              <w:t xml:space="preserve">Delete, Move, Add</w:t>
            </w:r>
          </w:p>
        </w:tc>
      </w:tr>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w:t>
            </w:r>
            <w:r w:rsidDel="00000000" w:rsidR="00000000" w:rsidRPr="00000000">
              <w:rPr>
                <w:rFonts w:ascii="Noto Sans Symbols" w:cs="Noto Sans Symbols" w:eastAsia="Noto Sans Symbols" w:hAnsi="Noto Sans Symbols"/>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w:t>
              <w:br w:type="textWrapping"/>
              <w:t xml:space="preserve">●Delete/●Insert</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●Delete/●Insert</w:t>
              <w:br w:type="textWrapping"/>
              <w:t xml:space="preserve">●Delete/●Insert</w:t>
              <w:br w:type="textWrapping"/>
              <w:t xml:space="preserve">●Delete/●Insert</w:t>
              <w:br w:type="textWrapping"/>
              <w:t xml:space="preserve">●Delete/●Insert</w:t>
              <w:br w:type="textWrapping"/>
              <w:t xml:space="preserve">●Delete/●Insert</w:t>
              <w:br w:type="textWrapping"/>
              <w:t xml:space="preserve">●Delete/●Insert</w:t>
            </w:r>
          </w:p>
        </w:tc>
      </w:tr>
    </w:tbl>
    <w:p w:rsidR="00000000" w:rsidDel="00000000" w:rsidP="00000000" w:rsidRDefault="00000000" w:rsidRPr="00000000" w14:paraId="0000003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Consideration</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consideration of the Supplier agreeing to enter into this variation agreement and to perform its obligations under it the Authority agrees to pay and the Supplier agrees to accept on the signing of this variation agreement the sum of one (£1.00) pound sterling (receipt of which is hereby acknowledged by the Supplier).</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the Parties through their authorised signatories: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3.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73450983.1</w:t>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4"/>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upperLetter"/>
      <w:lvlText w:val="Appendix %1"/>
      <w:lvlJc w:val="center"/>
      <w:pPr>
        <w:ind w:left="0" w:firstLine="567"/>
      </w:pPr>
      <w:rPr>
        <w:b w:val="1"/>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FA443F"/>
    <w:pPr>
      <w:numPr>
        <w:numId w:val="24"/>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F129FE"/>
    <w:pPr>
      <w:numPr>
        <w:numId w:val="22"/>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B77392"/>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B77392"/>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Re2UTHchT/7VJ/ttFc/EDyFu6g==">AMUW2mV4jmeeVjTFf2fAjE8OHkYjlGPRJtjLXyFsCoMkieba9wtExtCbLyfxRVeE/PqG4w9bVhzhpywBc5gKHxtBjTazLIX3k3awC4O0LQNSxw/tzhOA/g1bW3qmpOfuTgLoYpSufITKdboQEqmKwgcvGs6ujHpgvw==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73450983.1</vt:lpwstr>
  </property>
</Properties>
</file>